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36" w:rsidRDefault="00314836" w:rsidP="00314836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</w:p>
    <w:p w:rsidR="00314836" w:rsidRDefault="00314836" w:rsidP="00314836">
      <w:pPr>
        <w:ind w:firstLine="708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ელექტროაირშემდუღებლის</w:t>
      </w:r>
    </w:p>
    <w:p w:rsidR="00314836" w:rsidRDefault="00314836" w:rsidP="00314836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314836" w:rsidRDefault="00314836" w:rsidP="00314836">
      <w:pPr>
        <w:ind w:firstLine="708"/>
        <w:rPr>
          <w:rFonts w:ascii="Sylfaen" w:hAnsi="Sylfaen"/>
          <w:sz w:val="24"/>
          <w:szCs w:val="24"/>
        </w:rPr>
      </w:pPr>
    </w:p>
    <w:tbl>
      <w:tblPr>
        <w:tblW w:w="11065" w:type="dxa"/>
        <w:tblInd w:w="-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411"/>
      </w:tblGrid>
      <w:tr w:rsidR="00314836" w:rsidTr="00314836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4836" w:rsidRDefault="00314836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4836" w:rsidRDefault="00314836">
            <w:pPr>
              <w:spacing w:line="25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საშუალო</w:t>
            </w:r>
            <w:r>
              <w:rPr>
                <w:rFonts w:ascii="Sylfaen" w:hAnsi="Sylfaen" w:cs="AcadNusx"/>
                <w:color w:val="000000"/>
              </w:rPr>
              <w:t xml:space="preserve"> - პროფესიულ</w:t>
            </w:r>
            <w:r>
              <w:rPr>
                <w:rFonts w:ascii="Sylfaen" w:hAnsi="Sylfaen" w:cs="Arial"/>
                <w:color w:val="000000"/>
              </w:rPr>
              <w:t>ი</w:t>
            </w:r>
          </w:p>
        </w:tc>
      </w:tr>
      <w:tr w:rsidR="00314836" w:rsidTr="00314836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4836" w:rsidRDefault="00314836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836" w:rsidRDefault="00314836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314836" w:rsidTr="00314836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4836" w:rsidRDefault="00314836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4836" w:rsidRDefault="00314836">
            <w:pPr>
              <w:spacing w:line="25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დაკვირვებულობა</w:t>
            </w:r>
            <w:r>
              <w:rPr>
                <w:rFonts w:ascii="Sylfaen" w:hAnsi="Sylfaen" w:cs="AcadNusx"/>
                <w:color w:val="000000"/>
              </w:rPr>
              <w:t>,</w:t>
            </w:r>
            <w:r>
              <w:rPr>
                <w:rFonts w:ascii="Sylfaen" w:hAnsi="Sylfaen" w:cs="Arial"/>
                <w:color w:val="000000"/>
              </w:rPr>
              <w:t xml:space="preserve"> კომპეტენტურობა</w:t>
            </w:r>
          </w:p>
        </w:tc>
      </w:tr>
      <w:tr w:rsidR="00314836" w:rsidTr="00314836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4836" w:rsidRDefault="00314836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4836" w:rsidRDefault="00314836">
            <w:pPr>
              <w:spacing w:line="256" w:lineRule="auto"/>
              <w:jc w:val="both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პირადი უსაფრთხოების,  პირველადი სამედიცინო დახმარების, ცეცხლმქრობი საშუალებების გამოყენების წესები. შედუღების მეთოდების ცოდნა</w:t>
            </w:r>
          </w:p>
          <w:p w:rsidR="00314836" w:rsidRDefault="00314836">
            <w:pPr>
              <w:spacing w:line="25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</w:rPr>
              <w:t>ელექტროაირშემდუღებლის მოწმობა</w:t>
            </w:r>
          </w:p>
        </w:tc>
      </w:tr>
      <w:tr w:rsidR="00314836" w:rsidTr="00314836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4836" w:rsidRDefault="00314836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4836" w:rsidRDefault="00314836">
            <w:pPr>
              <w:spacing w:line="25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</w:rPr>
              <w:t>ელექტროაირშემდუღებლის მოწმობა</w:t>
            </w:r>
          </w:p>
        </w:tc>
      </w:tr>
      <w:tr w:rsidR="00314836" w:rsidTr="00314836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836" w:rsidRDefault="00314836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836" w:rsidRDefault="00314836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tbl>
      <w:tblPr>
        <w:tblpPr w:leftFromText="180" w:rightFromText="180" w:bottomFromText="160" w:vertAnchor="text" w:horzAnchor="margin" w:tblpXSpec="center" w:tblpY="534"/>
        <w:tblOverlap w:val="never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5"/>
      </w:tblGrid>
      <w:tr w:rsidR="00314836" w:rsidTr="00314836">
        <w:trPr>
          <w:trHeight w:val="562"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36" w:rsidRDefault="00314836" w:rsidP="00314836">
            <w:pPr>
              <w:spacing w:line="256" w:lineRule="auto"/>
              <w:jc w:val="both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უზრუნველყოს  ელექტროაირშე</w:t>
            </w:r>
            <w:r>
              <w:rPr>
                <w:rFonts w:ascii="Sylfaen" w:hAnsi="Sylfaen" w:cs="Arial"/>
                <w:color w:val="000000"/>
                <w:lang w:val="ka-GE"/>
              </w:rPr>
              <w:t>მ</w:t>
            </w:r>
            <w:r>
              <w:rPr>
                <w:rFonts w:ascii="Sylfaen" w:hAnsi="Sylfaen" w:cs="Arial"/>
                <w:color w:val="000000"/>
              </w:rPr>
              <w:t xml:space="preserve">დუღებელი დანადგარების გამართულობა და სწორი ექსპლუატაცია.  </w:t>
            </w:r>
          </w:p>
        </w:tc>
      </w:tr>
      <w:tr w:rsidR="00314836" w:rsidTr="00314836">
        <w:trPr>
          <w:trHeight w:val="562"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36" w:rsidRDefault="00314836" w:rsidP="00314836">
            <w:pPr>
              <w:spacing w:line="256" w:lineRule="auto"/>
              <w:jc w:val="both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სამუშაოს დაწყების წინ  ელექტროაირშედუღების აპარატის ელექტრო გაყვანილობის და ელექტრო</w:t>
            </w:r>
            <w:r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 xml:space="preserve">ხელსაწყოების გამართულობის შემოწმება. </w:t>
            </w:r>
          </w:p>
        </w:tc>
      </w:tr>
      <w:tr w:rsidR="00314836" w:rsidTr="00314836">
        <w:trPr>
          <w:trHeight w:val="562"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36" w:rsidRDefault="00314836" w:rsidP="00314836">
            <w:pPr>
              <w:spacing w:line="256" w:lineRule="auto"/>
              <w:jc w:val="both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სამუშაო ადგილის დასუფთავება  და ნარჩენების დროული  გატანა.</w:t>
            </w:r>
          </w:p>
        </w:tc>
      </w:tr>
      <w:tr w:rsidR="00314836" w:rsidTr="00314836">
        <w:trPr>
          <w:trHeight w:val="562"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36" w:rsidRDefault="00314836" w:rsidP="00314836">
            <w:pPr>
              <w:spacing w:line="256" w:lineRule="auto"/>
              <w:jc w:val="both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ელექტროაირშე</w:t>
            </w:r>
            <w:r>
              <w:rPr>
                <w:rFonts w:ascii="Sylfaen" w:hAnsi="Sylfaen" w:cs="Arial"/>
                <w:color w:val="000000"/>
                <w:lang w:val="ka-GE"/>
              </w:rPr>
              <w:t>მ</w:t>
            </w:r>
            <w:r>
              <w:rPr>
                <w:rFonts w:ascii="Sylfaen" w:hAnsi="Sylfaen" w:cs="Arial"/>
                <w:color w:val="000000"/>
              </w:rPr>
              <w:t xml:space="preserve">დუღებელი დანადგარების  სწორი ექსპლუატაცია და სათანადო ადგილზე  შენახვა. </w:t>
            </w:r>
          </w:p>
        </w:tc>
      </w:tr>
      <w:tr w:rsidR="00314836" w:rsidTr="00314836">
        <w:trPr>
          <w:trHeight w:val="562"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36" w:rsidRDefault="00314836" w:rsidP="00314836">
            <w:pPr>
              <w:spacing w:line="256" w:lineRule="auto"/>
              <w:jc w:val="both"/>
              <w:rPr>
                <w:rFonts w:ascii="AcadNusx" w:hAnsi="AcadNusx" w:cs="Arial"/>
              </w:rPr>
            </w:pP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Arial"/>
              </w:rPr>
              <w:t>შედუღების პროცესის წარმოებისას ინსტრუქციების და ტექნოლოგიური პროცესის დაცვა</w:t>
            </w:r>
          </w:p>
        </w:tc>
      </w:tr>
      <w:tr w:rsidR="00314836" w:rsidTr="00314836">
        <w:trPr>
          <w:trHeight w:val="562"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36" w:rsidRDefault="00314836" w:rsidP="00314836">
            <w:pPr>
              <w:spacing w:line="256" w:lineRule="auto"/>
              <w:jc w:val="both"/>
              <w:rPr>
                <w:rFonts w:ascii="AcadNusx" w:hAnsi="AcadNusx" w:cs="Arial"/>
                <w:lang w:val="ka-GE"/>
              </w:rPr>
            </w:pP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მოვალეა დაიცვას </w:t>
            </w:r>
            <w:r>
              <w:rPr>
                <w:rFonts w:ascii="Sylfaen" w:hAnsi="Sylfaen" w:cs="Sylfaen"/>
              </w:rPr>
              <w:t>შრომითი</w:t>
            </w:r>
            <w:r>
              <w:rPr>
                <w:rFonts w:ascii="Sylfaen" w:hAnsi="Sylfaen" w:cs="Arial"/>
              </w:rPr>
              <w:t xml:space="preserve"> </w:t>
            </w:r>
            <w:r>
              <w:rPr>
                <w:rFonts w:ascii="Sylfaen" w:hAnsi="Sylfaen" w:cs="Sylfaen"/>
              </w:rPr>
              <w:t>დისციპლინ</w:t>
            </w:r>
            <w:r>
              <w:rPr>
                <w:rFonts w:ascii="Sylfaen" w:hAnsi="Sylfaen" w:cs="AcadNusx"/>
              </w:rPr>
              <w:t xml:space="preserve">ა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AcadNusx"/>
              </w:rP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</w:p>
        </w:tc>
      </w:tr>
      <w:tr w:rsidR="00314836" w:rsidTr="00314836">
        <w:trPr>
          <w:trHeight w:val="562"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36" w:rsidRDefault="00314836" w:rsidP="00314836">
            <w:pPr>
              <w:spacing w:line="256" w:lineRule="auto"/>
              <w:jc w:val="both"/>
              <w:rPr>
                <w:rFonts w:ascii="AcadNusx" w:hAnsi="AcadNusx" w:cs="Arial"/>
                <w:lang w:val="ka-GE"/>
              </w:rPr>
            </w:pP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მოვალეა დაიცვას </w:t>
            </w:r>
            <w:r>
              <w:rPr>
                <w:rFonts w:ascii="Sylfaen" w:hAnsi="Sylfaen" w:cs="Arial"/>
              </w:rPr>
              <w:t>შრომის დაცვის, უსაფრთხოების ტექნიკისა და ხანძარსაწინააღმდეგო წესები</w:t>
            </w:r>
          </w:p>
        </w:tc>
      </w:tr>
    </w:tbl>
    <w:p w:rsidR="00314836" w:rsidRDefault="00314836" w:rsidP="0031483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314836" w:rsidRDefault="00314836" w:rsidP="00314836">
      <w:pPr>
        <w:rPr>
          <w:rFonts w:ascii="Sylfaen" w:hAnsi="Sylfaen" w:cs="Sylfaen"/>
          <w:sz w:val="24"/>
          <w:szCs w:val="24"/>
          <w:lang w:val="ka-GE"/>
        </w:rPr>
      </w:pPr>
    </w:p>
    <w:p w:rsidR="00314836" w:rsidRDefault="00314836" w:rsidP="00314836">
      <w:pPr>
        <w:rPr>
          <w:rFonts w:ascii="Sylfaen" w:hAnsi="Sylfaen" w:cs="Sylfaen"/>
          <w:sz w:val="24"/>
          <w:szCs w:val="24"/>
          <w:lang w:val="ka-GE"/>
        </w:rPr>
      </w:pPr>
      <w:bookmarkStart w:id="0" w:name="_GoBack"/>
      <w:bookmarkEnd w:id="0"/>
    </w:p>
    <w:p w:rsidR="00314836" w:rsidRDefault="00314836" w:rsidP="00314836">
      <w:pPr>
        <w:rPr>
          <w:rFonts w:ascii="Sylfaen" w:hAnsi="Sylfaen" w:cs="Sylfaen"/>
          <w:sz w:val="24"/>
          <w:szCs w:val="24"/>
          <w:lang w:val="ka-GE"/>
        </w:rPr>
      </w:pPr>
    </w:p>
    <w:p w:rsidR="00314836" w:rsidRDefault="00314836" w:rsidP="0031483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სამუშაო</w:t>
      </w:r>
      <w:r>
        <w:rPr>
          <w:rFonts w:ascii="Sylfaen" w:hAnsi="Sylfaen"/>
          <w:sz w:val="24"/>
          <w:szCs w:val="24"/>
          <w:lang w:val="ka-GE"/>
        </w:rPr>
        <w:t xml:space="preserve"> რეჟიმი: </w:t>
      </w:r>
      <w:r>
        <w:rPr>
          <w:rFonts w:ascii="Sylfaen" w:hAnsi="Sylfaen" w:cs="Arial CYR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ყოველდღიური</w:t>
      </w:r>
    </w:p>
    <w:p w:rsidR="00314836" w:rsidRDefault="00314836" w:rsidP="00314836">
      <w:r>
        <w:rPr>
          <w:rFonts w:ascii="Sylfaen" w:hAnsi="Sylfaen" w:cs="Sylfaen"/>
          <w:b/>
          <w:sz w:val="24"/>
          <w:szCs w:val="24"/>
        </w:rPr>
        <w:lastRenderedPageBreak/>
        <w:t xml:space="preserve">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  <w:t xml:space="preserve">         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  <w:t xml:space="preserve">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lang w:val="ka-GE"/>
        </w:rPr>
        <w:t xml:space="preserve"> </w:t>
      </w:r>
    </w:p>
    <w:p w:rsidR="00314836" w:rsidRDefault="00314836" w:rsidP="00314836"/>
    <w:p w:rsidR="00A3109E" w:rsidRDefault="00A3109E"/>
    <w:sectPr w:rsidR="00A3109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30"/>
    <w:rsid w:val="001F3430"/>
    <w:rsid w:val="00314836"/>
    <w:rsid w:val="00A3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3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3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Company>CtrlSoft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2019-05-07T12:30:00Z</dcterms:created>
  <dcterms:modified xsi:type="dcterms:W3CDTF">2019-05-07T12:31:00Z</dcterms:modified>
</cp:coreProperties>
</file>