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B" w:rsidRPr="00623DA1" w:rsidRDefault="00F8367B" w:rsidP="00F8367B">
      <w:pPr>
        <w:ind w:left="648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23DA1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 w:rsidRPr="00623DA1">
        <w:rPr>
          <w:rFonts w:ascii="Sylfaen" w:hAnsi="Sylfaen" w:cs="Sylfaen"/>
          <w:i/>
          <w:sz w:val="24"/>
          <w:szCs w:val="24"/>
        </w:rPr>
        <w:t>1</w:t>
      </w:r>
      <w:r w:rsidRPr="00623D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67B" w:rsidRPr="00623DA1" w:rsidRDefault="00F8367B" w:rsidP="00F8367B">
      <w:pPr>
        <w:rPr>
          <w:rFonts w:ascii="Sylfaen" w:hAnsi="Sylfaen" w:cs="Sylfaen"/>
          <w:b/>
          <w:sz w:val="24"/>
          <w:szCs w:val="24"/>
          <w:lang w:val="ka-GE"/>
        </w:rPr>
      </w:pPr>
      <w:r w:rsidRPr="00623DA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  <w:r w:rsidRPr="00623DA1">
        <w:rPr>
          <w:rFonts w:ascii="Sylfaen" w:hAnsi="Sylfaen"/>
          <w:b/>
          <w:sz w:val="24"/>
          <w:szCs w:val="24"/>
        </w:rPr>
        <w:t xml:space="preserve">                      </w:t>
      </w:r>
      <w:r w:rsidRPr="00623DA1">
        <w:rPr>
          <w:rFonts w:ascii="Sylfaen" w:hAnsi="Sylfaen"/>
          <w:b/>
          <w:sz w:val="24"/>
          <w:szCs w:val="24"/>
          <w:lang w:val="ka-GE"/>
        </w:rPr>
        <w:t xml:space="preserve">      დრეზინის მძღოლის</w:t>
      </w:r>
      <w:r w:rsidRPr="00623DA1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623DA1">
        <w:rPr>
          <w:rFonts w:ascii="Sylfaen" w:hAnsi="Sylfaen" w:cs="Sylfaen"/>
          <w:i/>
          <w:sz w:val="24"/>
          <w:szCs w:val="24"/>
        </w:rPr>
        <w:t xml:space="preserve">         </w:t>
      </w:r>
      <w:r w:rsidRPr="00623D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623DA1">
        <w:rPr>
          <w:rFonts w:ascii="Sylfaen" w:hAnsi="Sylfaen" w:cs="Sylfaen"/>
          <w:b/>
          <w:sz w:val="24"/>
          <w:szCs w:val="24"/>
          <w:lang w:val="ka-GE"/>
        </w:rPr>
        <w:t xml:space="preserve">                     </w:t>
      </w:r>
      <w:r w:rsidRPr="00623DA1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</w:t>
      </w:r>
      <w:r w:rsidRPr="00623DA1">
        <w:rPr>
          <w:rFonts w:ascii="Sylfaen" w:hAnsi="Sylfaen" w:cs="AcadNusx"/>
          <w:b/>
          <w:color w:val="000000"/>
          <w:sz w:val="24"/>
          <w:szCs w:val="24"/>
          <w:lang w:val="ka-GE"/>
        </w:rPr>
        <w:t xml:space="preserve">                                                </w:t>
      </w:r>
    </w:p>
    <w:p w:rsidR="00F8367B" w:rsidRPr="00623DA1" w:rsidRDefault="00F8367B" w:rsidP="00F8367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623DA1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F8367B" w:rsidRPr="00623DA1" w:rsidRDefault="00F8367B" w:rsidP="00F8367B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F8367B" w:rsidRPr="00623DA1" w:rsidTr="00894A8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სპეცილური განათლება დრეზინის მართვის მოწმობით </w:t>
            </w:r>
          </w:p>
        </w:tc>
      </w:tr>
      <w:tr w:rsidR="00F8367B" w:rsidRPr="00623DA1" w:rsidTr="00894A84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 w:rsidRPr="00623DA1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367B" w:rsidRPr="00623DA1" w:rsidTr="00894A8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623DA1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 w:rsidRPr="00623DA1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დაკვირვებულობა, სწრაფი რეაგირება, მობილიზირებულობა.</w:t>
            </w:r>
          </w:p>
        </w:tc>
      </w:tr>
      <w:tr w:rsidR="00F8367B" w:rsidRPr="00623DA1" w:rsidTr="00894A8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623DA1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623DA1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სარკინიგზო ტრანსპორტზე ტექნიკური ექსპლუატაციის წესები, სიგნალიზაციის ინსტრუქცია, მატარებელთა მოძრაობისა და სამანევრო მუშაობის ინსტრუქცია სხვა ნორმატიული აქტები და ინსტრუქციები, დრეზინის მოწყობილობა, მოვალეობის ფარგლებში</w:t>
            </w:r>
          </w:p>
          <w:p w:rsidR="00F8367B" w:rsidRPr="00623DA1" w:rsidRDefault="00F8367B" w:rsidP="00894A84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F8367B" w:rsidRPr="00623DA1" w:rsidTr="00894A8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623DA1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ნერგიული</w:t>
            </w:r>
          </w:p>
        </w:tc>
      </w:tr>
    </w:tbl>
    <w:p w:rsidR="00F8367B" w:rsidRPr="00623DA1" w:rsidRDefault="00F8367B" w:rsidP="00F8367B">
      <w:pPr>
        <w:jc w:val="both"/>
        <w:rPr>
          <w:rFonts w:ascii="Sylfaen" w:hAnsi="Sylfaen"/>
          <w:b/>
          <w:sz w:val="24"/>
          <w:szCs w:val="24"/>
        </w:rPr>
      </w:pPr>
      <w:r w:rsidRPr="00623DA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623DA1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F8367B" w:rsidRPr="00623DA1" w:rsidTr="00894A84">
        <w:trPr>
          <w:trHeight w:val="636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tabs>
                <w:tab w:val="left" w:pos="567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დრეზინის  გამართულობის სისტემატიური შემოწმება;</w:t>
            </w:r>
          </w:p>
        </w:tc>
      </w:tr>
      <w:tr w:rsidR="00F8367B" w:rsidRPr="00623DA1" w:rsidTr="00894A84">
        <w:trPr>
          <w:trHeight w:val="42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აღმოჩენილი მცირე უწესივრობების შეკეთება.</w:t>
            </w:r>
          </w:p>
        </w:tc>
      </w:tr>
      <w:tr w:rsidR="00F8367B" w:rsidRPr="00623DA1" w:rsidTr="00894A84">
        <w:trPr>
          <w:trHeight w:val="416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საწვავ-საპოხი მასალებით დრეზინის დროულად გამართვა.</w:t>
            </w:r>
          </w:p>
        </w:tc>
      </w:tr>
      <w:tr w:rsidR="00F8367B" w:rsidRPr="00623DA1" w:rsidTr="00894A84">
        <w:trPr>
          <w:trHeight w:val="407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დრეზინის  უსაფრთხო მოძრაობის და გადაადგილების უზრუნველყოფა.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დრეზინის მექნიკური კვანძების შემოწმება და შეკეთება</w:t>
            </w:r>
          </w:p>
        </w:tc>
      </w:tr>
      <w:tr w:rsidR="00F8367B" w:rsidRPr="00623DA1" w:rsidTr="00894A84">
        <w:trPr>
          <w:trHeight w:val="563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დრეზინის მექანიკური სისტემების შეკეთება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სამუშაო აწარმოოს შრომის უსაფრთხოების ნორმებისა და ტექნოლოგიური პროცესის სრული დაცვით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მოვალეა დაიცვას 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შრომის დაცვის, უსაფრთხოების ტექნიკის, საწარმოო სანიტარიის და სახანძრო უსაფრთხოების წესები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t xml:space="preserve">მოვალეა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კომპეტენციის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 ფარგლებში.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>მოვალეა იხელმძღვანელოს</w:t>
            </w: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 xml:space="preserve"> კომპანიი</w:t>
            </w: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შინაგანაწესი და შრომის დისციპლინა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.</w:t>
            </w:r>
          </w:p>
        </w:tc>
      </w:tr>
    </w:tbl>
    <w:p w:rsidR="00F8367B" w:rsidRPr="00623DA1" w:rsidRDefault="00F8367B" w:rsidP="00F8367B">
      <w:pPr>
        <w:rPr>
          <w:rFonts w:ascii="Sylfaen" w:hAnsi="Sylfaen"/>
          <w:sz w:val="24"/>
          <w:szCs w:val="24"/>
          <w:lang w:val="ka-GE"/>
        </w:rPr>
      </w:pPr>
    </w:p>
    <w:p w:rsidR="00F8367B" w:rsidRPr="00623DA1" w:rsidRDefault="00F8367B" w:rsidP="00F8367B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F8367B" w:rsidRPr="00623DA1" w:rsidRDefault="00F8367B" w:rsidP="00F8367B">
      <w:pPr>
        <w:jc w:val="both"/>
        <w:rPr>
          <w:rFonts w:ascii="AcadNusx" w:hAnsi="AcadNusx"/>
          <w:sz w:val="24"/>
          <w:szCs w:val="24"/>
          <w:lang w:val="ka-GE"/>
        </w:rPr>
      </w:pPr>
      <w:r w:rsidRPr="00623DA1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623DA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23DA1"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F8367B" w:rsidRPr="00623DA1" w:rsidRDefault="00F8367B" w:rsidP="00F8367B">
      <w:pPr>
        <w:ind w:left="648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23DA1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 w:rsidRPr="00623DA1">
        <w:rPr>
          <w:rFonts w:ascii="Sylfaen" w:hAnsi="Sylfaen" w:cs="Sylfaen"/>
          <w:i/>
          <w:sz w:val="24"/>
          <w:szCs w:val="24"/>
        </w:rPr>
        <w:t>2</w:t>
      </w:r>
      <w:r w:rsidRPr="00623D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67B" w:rsidRPr="00623DA1" w:rsidRDefault="00F8367B" w:rsidP="00F8367B">
      <w:pPr>
        <w:rPr>
          <w:rFonts w:ascii="Sylfaen" w:hAnsi="Sylfaen" w:cs="Sylfaen"/>
          <w:b/>
          <w:sz w:val="24"/>
          <w:szCs w:val="24"/>
          <w:lang w:val="ka-GE"/>
        </w:rPr>
      </w:pPr>
      <w:r w:rsidRPr="00623DA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  <w:r w:rsidRPr="00623DA1">
        <w:rPr>
          <w:rFonts w:ascii="Sylfaen" w:hAnsi="Sylfaen"/>
          <w:b/>
          <w:sz w:val="24"/>
          <w:szCs w:val="24"/>
        </w:rPr>
        <w:t xml:space="preserve">           </w:t>
      </w:r>
      <w:r w:rsidRPr="00623DA1">
        <w:rPr>
          <w:rFonts w:ascii="Sylfaen" w:hAnsi="Sylfaen" w:cs="Sylfaen"/>
          <w:i/>
          <w:sz w:val="24"/>
          <w:szCs w:val="24"/>
        </w:rPr>
        <w:t xml:space="preserve"> </w:t>
      </w:r>
      <w:r w:rsidRPr="00623DA1">
        <w:rPr>
          <w:rFonts w:ascii="Sylfaen" w:hAnsi="Sylfaen"/>
          <w:b/>
          <w:sz w:val="24"/>
          <w:szCs w:val="24"/>
          <w:lang w:val="ka-GE"/>
        </w:rPr>
        <w:t>დეფექტოსკოპის ურიკის ოპერატორის</w:t>
      </w:r>
      <w:r w:rsidRPr="00623D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</w:t>
      </w:r>
      <w:r w:rsidRPr="00623D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</w:t>
      </w:r>
      <w:r w:rsidRPr="00623DA1">
        <w:rPr>
          <w:rFonts w:ascii="Sylfaen" w:hAnsi="Sylfaen" w:cs="AcadNusx"/>
          <w:b/>
          <w:color w:val="000000"/>
          <w:sz w:val="24"/>
          <w:szCs w:val="24"/>
          <w:lang w:val="ka-GE"/>
        </w:rPr>
        <w:t xml:space="preserve">                                                </w:t>
      </w:r>
    </w:p>
    <w:p w:rsidR="00F8367B" w:rsidRPr="00623DA1" w:rsidRDefault="00F8367B" w:rsidP="00F8367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623DA1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F8367B" w:rsidRPr="00623DA1" w:rsidRDefault="00F8367B" w:rsidP="00F8367B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F8367B" w:rsidRPr="00623DA1" w:rsidTr="00894A8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bCs/>
                <w:color w:val="000000"/>
                <w:sz w:val="24"/>
                <w:szCs w:val="24"/>
              </w:rPr>
              <w:t>საშუალო</w:t>
            </w:r>
          </w:p>
        </w:tc>
      </w:tr>
      <w:tr w:rsidR="00F8367B" w:rsidRPr="00623DA1" w:rsidTr="00894A84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 w:rsidRPr="00623DA1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bCs/>
                <w:color w:val="000000"/>
                <w:sz w:val="24"/>
                <w:szCs w:val="24"/>
              </w:rPr>
              <w:t>ოპერატორის თანაშემწედ მუშაობის მინიმუმ 6 თვის გამოცდილება</w:t>
            </w:r>
          </w:p>
        </w:tc>
      </w:tr>
      <w:tr w:rsidR="00F8367B" w:rsidRPr="00623DA1" w:rsidTr="00894A8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623DA1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 w:rsidRPr="00623DA1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bCs/>
                <w:color w:val="000000"/>
                <w:sz w:val="24"/>
                <w:szCs w:val="24"/>
              </w:rPr>
              <w:t>სისწრაფე, დაკვირვებულობა, ენერგიულობა</w:t>
            </w:r>
          </w:p>
        </w:tc>
      </w:tr>
      <w:tr w:rsidR="00F8367B" w:rsidRPr="00623DA1" w:rsidTr="00894A8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623DA1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623DA1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  <w:t>ტექნიკური ექსპლოატაციის წესები, მატარებელთა და სამანევრო  მოძრაობის ინსტრუქცია, სიგნალიზაციის ინსტრუქცია და სხვა ნორმატიული აქტები და ინსტრუქციები</w:t>
            </w:r>
          </w:p>
        </w:tc>
      </w:tr>
      <w:tr w:rsidR="00F8367B" w:rsidRPr="00623DA1" w:rsidTr="00894A8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623DA1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bCs/>
                <w:color w:val="000000"/>
                <w:sz w:val="24"/>
                <w:szCs w:val="24"/>
              </w:rPr>
              <w:t>ფიზიკური ამტანობა</w:t>
            </w:r>
          </w:p>
        </w:tc>
      </w:tr>
    </w:tbl>
    <w:p w:rsidR="00F8367B" w:rsidRPr="00623DA1" w:rsidRDefault="00F8367B" w:rsidP="00F8367B">
      <w:pPr>
        <w:jc w:val="both"/>
        <w:rPr>
          <w:rFonts w:ascii="Sylfaen" w:hAnsi="Sylfaen"/>
          <w:b/>
          <w:sz w:val="24"/>
          <w:szCs w:val="24"/>
        </w:rPr>
      </w:pPr>
      <w:r w:rsidRPr="00623DA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  <w:r w:rsidRPr="00623DA1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F8367B" w:rsidRPr="00623DA1" w:rsidTr="00894A84">
        <w:trPr>
          <w:trHeight w:val="636"/>
        </w:trPr>
        <w:tc>
          <w:tcPr>
            <w:tcW w:w="9805" w:type="dxa"/>
            <w:vAlign w:val="bottom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>წინასწარ შედგენილი გრაფიკის მიხედვით დეფექტოსკოპიური ურიკით გადასარბენზე რელსების  შემოწმება</w:t>
            </w:r>
          </w:p>
        </w:tc>
      </w:tr>
      <w:tr w:rsidR="00F8367B" w:rsidRPr="00623DA1" w:rsidTr="00894A84">
        <w:trPr>
          <w:trHeight w:val="425"/>
        </w:trPr>
        <w:tc>
          <w:tcPr>
            <w:tcW w:w="9805" w:type="dxa"/>
            <w:vAlign w:val="bottom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უზრუნველყოს აღმოჩენილი დეფექტების შესახებ ოსტატისათვის დაუყოვნებლივი     </w:t>
            </w:r>
            <w:r w:rsidRPr="00623DA1">
              <w:rPr>
                <w:color w:val="000000"/>
                <w:sz w:val="24"/>
                <w:szCs w:val="24"/>
              </w:rPr>
              <w:t xml:space="preserve">     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>ინფორმაციის მიწოდება</w:t>
            </w:r>
          </w:p>
        </w:tc>
      </w:tr>
      <w:tr w:rsidR="00F8367B" w:rsidRPr="00623DA1" w:rsidTr="00894A84">
        <w:trPr>
          <w:trHeight w:val="416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sz w:val="24"/>
                <w:szCs w:val="24"/>
              </w:rPr>
              <w:t>დეფექტოსკოპური ურიკის მომსახურება და ტექნიკურად გამართული მდგომარეობის უზრუნველყოფა</w:t>
            </w:r>
          </w:p>
        </w:tc>
      </w:tr>
      <w:tr w:rsidR="00F8367B" w:rsidRPr="00623DA1" w:rsidTr="00894A84">
        <w:trPr>
          <w:trHeight w:val="407"/>
        </w:trPr>
        <w:tc>
          <w:tcPr>
            <w:tcW w:w="9805" w:type="dxa"/>
            <w:vAlign w:val="bottom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>რელსებზე და სამაგრისებზე არსებული დეფექტების  ოპერატიული აღმოჩენისა და სურათების მიხედვით აღნიშვნის უზრუნველყოფა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საინფორმაციო უზრუნველყოფის განყოფილებასათვის აღმოჩენილი დეფექტის და მის აღმოსაფხვრელად მიღებული ზომების შესახებ ინფორმაციის ოპერატიული მიწოდება</w:t>
            </w:r>
          </w:p>
        </w:tc>
      </w:tr>
      <w:tr w:rsidR="00F8367B" w:rsidRPr="00623DA1" w:rsidTr="00894A84">
        <w:trPr>
          <w:trHeight w:val="563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sz w:val="24"/>
                <w:szCs w:val="24"/>
              </w:rPr>
              <w:t>მწვავე დეფექტური რელსების აღმოჩენისას  მატარებელთა მოძრაობის უსაფრთხოების  უზრუნველსაყოფად ოპერატიული ზომების მიღება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>შემოწმებული გადასარბენის შედეგების შეტანა სამუშაო ჟურნალში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sz w:val="24"/>
                <w:szCs w:val="24"/>
              </w:rPr>
              <w:t>დეფექტოსკოპური ურიკის სწორი ექსპლუატაციის უზრუნველყოფა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sz w:val="24"/>
                <w:szCs w:val="24"/>
              </w:rPr>
              <w:t>დეფექტოსკოპური ურიკის მოვლა-შენახვა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მოვალეა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წარმოების ინტერესებიდან გამომდინარე, გამონაკლის შემთხვევებში (ოპერატიულად      შესასრულებელი სამუშაოების დროს)  შეასრულოს ზემდგომი ხელმძღვანელის მიერ გაცემული  სიტყვიერი თუ წერილობითი ყველა ბრძანება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კომპეტენციის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 ფარგლებში.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>მოვალეა იხელმძღვანელოს</w:t>
            </w: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 xml:space="preserve"> კომპანიი</w:t>
            </w: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 xml:space="preserve">ს ერთიანი პოლიტიკის პრინციპებით და დაიცვას  </w:t>
            </w: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>სამსახურის  პროფესიული და მორალურ ზნეობრივი სტანდარტები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bCs/>
                <w:color w:val="000000"/>
                <w:sz w:val="24"/>
                <w:szCs w:val="24"/>
                <w:lang w:val="pt-BR"/>
              </w:rPr>
            </w:pP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შინაგანაწესი და შრომის დისციპლინა</w:t>
            </w:r>
          </w:p>
        </w:tc>
      </w:tr>
    </w:tbl>
    <w:p w:rsidR="00F8367B" w:rsidRPr="00623DA1" w:rsidRDefault="00F8367B" w:rsidP="00F8367B">
      <w:pPr>
        <w:rPr>
          <w:rFonts w:ascii="Sylfaen" w:hAnsi="Sylfaen"/>
          <w:sz w:val="24"/>
          <w:szCs w:val="24"/>
          <w:lang w:val="ka-GE"/>
        </w:rPr>
      </w:pPr>
    </w:p>
    <w:p w:rsidR="00F8367B" w:rsidRPr="00623DA1" w:rsidRDefault="00F8367B" w:rsidP="00F8367B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F8367B" w:rsidRPr="00623DA1" w:rsidRDefault="00F8367B" w:rsidP="00F8367B">
      <w:pPr>
        <w:jc w:val="both"/>
        <w:rPr>
          <w:rFonts w:ascii="AcadNusx" w:hAnsi="AcadNusx"/>
          <w:sz w:val="24"/>
          <w:szCs w:val="24"/>
          <w:lang w:val="ka-GE"/>
        </w:rPr>
      </w:pPr>
      <w:r w:rsidRPr="00623DA1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623DA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23DA1"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F8367B" w:rsidRPr="00623DA1" w:rsidRDefault="00F8367B" w:rsidP="00F8367B">
      <w:pPr>
        <w:rPr>
          <w:sz w:val="24"/>
          <w:szCs w:val="24"/>
        </w:rPr>
      </w:pPr>
    </w:p>
    <w:p w:rsidR="00F8367B" w:rsidRPr="00623DA1" w:rsidRDefault="00F8367B" w:rsidP="00F8367B">
      <w:pPr>
        <w:ind w:left="648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23DA1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 w:rsidRPr="00623DA1">
        <w:rPr>
          <w:rFonts w:ascii="Sylfaen" w:hAnsi="Sylfaen" w:cs="Sylfaen"/>
          <w:i/>
          <w:sz w:val="24"/>
          <w:szCs w:val="24"/>
        </w:rPr>
        <w:t>3</w:t>
      </w:r>
      <w:r w:rsidRPr="00623D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67B" w:rsidRPr="00623DA1" w:rsidRDefault="00F8367B" w:rsidP="00F8367B">
      <w:pPr>
        <w:rPr>
          <w:rFonts w:ascii="Sylfaen" w:hAnsi="Sylfaen" w:cs="Sylfaen"/>
          <w:b/>
          <w:sz w:val="24"/>
          <w:szCs w:val="24"/>
          <w:lang w:val="ka-GE"/>
        </w:rPr>
      </w:pPr>
      <w:r w:rsidRPr="00623DA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  <w:r w:rsidRPr="00623DA1">
        <w:rPr>
          <w:rFonts w:ascii="Sylfaen" w:hAnsi="Sylfaen"/>
          <w:b/>
          <w:sz w:val="24"/>
          <w:szCs w:val="24"/>
        </w:rPr>
        <w:t xml:space="preserve">                      </w:t>
      </w:r>
      <w:r w:rsidRPr="00623DA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623DA1">
        <w:rPr>
          <w:rFonts w:ascii="Sylfaen" w:hAnsi="Sylfaen" w:cs="Sylfaen"/>
          <w:b/>
          <w:sz w:val="24"/>
          <w:szCs w:val="24"/>
        </w:rPr>
        <w:tab/>
        <w:t xml:space="preserve">    </w:t>
      </w:r>
      <w:r w:rsidRPr="00623DA1">
        <w:rPr>
          <w:rFonts w:ascii="Sylfaen" w:hAnsi="Sylfaen"/>
          <w:b/>
          <w:sz w:val="24"/>
          <w:szCs w:val="24"/>
          <w:lang w:val="ka-GE"/>
        </w:rPr>
        <w:t>გამწყობის</w:t>
      </w:r>
      <w:r w:rsidRPr="00623D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</w:t>
      </w:r>
      <w:r w:rsidRPr="00623D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</w:t>
      </w:r>
      <w:r w:rsidRPr="00623DA1">
        <w:rPr>
          <w:rFonts w:ascii="Sylfaen" w:hAnsi="Sylfaen" w:cs="AcadNusx"/>
          <w:b/>
          <w:color w:val="000000"/>
          <w:sz w:val="24"/>
          <w:szCs w:val="24"/>
          <w:lang w:val="ka-GE"/>
        </w:rPr>
        <w:t xml:space="preserve">                                                </w:t>
      </w:r>
    </w:p>
    <w:p w:rsidR="00F8367B" w:rsidRPr="00623DA1" w:rsidRDefault="00F8367B" w:rsidP="00F8367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623DA1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F8367B" w:rsidRPr="00623DA1" w:rsidRDefault="00F8367B" w:rsidP="00F8367B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F8367B" w:rsidRPr="00623DA1" w:rsidTr="00894A8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საშუალო </w:t>
            </w:r>
          </w:p>
        </w:tc>
      </w:tr>
      <w:tr w:rsidR="00F8367B" w:rsidRPr="00623DA1" w:rsidTr="00894A84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 w:rsidRPr="00623DA1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8367B" w:rsidRPr="00623DA1" w:rsidTr="00894A8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623DA1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 w:rsidRPr="00623DA1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</w:rPr>
              <w:t>დაკვირვებულობა</w:t>
            </w:r>
            <w:r w:rsidRPr="00623DA1">
              <w:rPr>
                <w:rFonts w:ascii="Sylfaen" w:hAnsi="Sylfaen" w:cs="AcadNusx"/>
                <w:color w:val="000000"/>
                <w:sz w:val="24"/>
                <w:szCs w:val="24"/>
              </w:rPr>
              <w:t>,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კომპეტენტურობა.</w:t>
            </w:r>
          </w:p>
        </w:tc>
      </w:tr>
      <w:tr w:rsidR="00F8367B" w:rsidRPr="00623DA1" w:rsidTr="00894A8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623DA1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623DA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623DA1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უნდა  იცოდეს პირადი უსაფრთხოების,  პირველადი სამედიცინო დახმარების, ცეცხლმქრობი საშუალებების გამოყენების წესები. </w:t>
            </w:r>
          </w:p>
        </w:tc>
      </w:tr>
      <w:tr w:rsidR="00F8367B" w:rsidRPr="00623DA1" w:rsidTr="00894A8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7B" w:rsidRPr="00623DA1" w:rsidRDefault="00F8367B" w:rsidP="00894A8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623DA1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623DA1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7B" w:rsidRPr="00623DA1" w:rsidRDefault="00F8367B" w:rsidP="00894A8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623DA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B" w:rsidRPr="00623DA1" w:rsidRDefault="00F8367B" w:rsidP="00894A84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 w:cs="Sylfaen"/>
                <w:color w:val="000000"/>
                <w:sz w:val="24"/>
                <w:szCs w:val="24"/>
              </w:rPr>
              <w:t>ენერგიულობა</w:t>
            </w:r>
          </w:p>
        </w:tc>
      </w:tr>
    </w:tbl>
    <w:p w:rsidR="00F8367B" w:rsidRPr="00623DA1" w:rsidRDefault="00F8367B" w:rsidP="00F8367B">
      <w:pPr>
        <w:jc w:val="both"/>
        <w:rPr>
          <w:rFonts w:ascii="Sylfaen" w:hAnsi="Sylfaen"/>
          <w:b/>
          <w:sz w:val="24"/>
          <w:szCs w:val="24"/>
        </w:rPr>
      </w:pPr>
      <w:r w:rsidRPr="00623DA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</w:p>
    <w:p w:rsidR="00F8367B" w:rsidRPr="00623DA1" w:rsidRDefault="00F8367B" w:rsidP="00F8367B">
      <w:pPr>
        <w:rPr>
          <w:rFonts w:ascii="Sylfaen" w:hAnsi="Sylfaen"/>
          <w:b/>
          <w:sz w:val="24"/>
          <w:szCs w:val="24"/>
          <w:lang w:val="ka-GE"/>
        </w:rPr>
      </w:pPr>
      <w:r w:rsidRPr="00623DA1">
        <w:rPr>
          <w:rFonts w:ascii="Sylfaen" w:hAnsi="Sylfaen"/>
          <w:b/>
          <w:sz w:val="24"/>
          <w:szCs w:val="24"/>
          <w:lang w:val="ka-GE"/>
        </w:rPr>
        <w:lastRenderedPageBreak/>
        <w:t>ფუნქცია- მოვალეობები: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F8367B" w:rsidRPr="00623DA1" w:rsidTr="00894A84">
        <w:trPr>
          <w:trHeight w:val="636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რელსის შეზეთვის მოწყობილობებისა და 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დანადგარების ყოველდღიური და პერიოდული შემოწმება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, აღმოჩენილი დაზიანებეის დროული აღმოფხვრა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.</w:t>
            </w:r>
          </w:p>
        </w:tc>
      </w:tr>
      <w:tr w:rsidR="00F8367B" w:rsidRPr="00623DA1" w:rsidTr="00894A84">
        <w:trPr>
          <w:trHeight w:val="42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საცხებ-საპოხი მასალები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ს</w:t>
            </w: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შეცვლა ექსპლუატაციის სქემის მიხედვით.</w:t>
            </w:r>
          </w:p>
        </w:tc>
      </w:tr>
      <w:tr w:rsidR="00F8367B" w:rsidRPr="00623DA1" w:rsidTr="00894A84">
        <w:trPr>
          <w:trHeight w:val="416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color w:val="000000"/>
                <w:sz w:val="24"/>
                <w:szCs w:val="24"/>
              </w:rPr>
              <w:t>შრომის  იარაღების  სწორი ექსპლუატაცია</w:t>
            </w:r>
          </w:p>
        </w:tc>
      </w:tr>
      <w:tr w:rsidR="00F8367B" w:rsidRPr="00623DA1" w:rsidTr="00894A84">
        <w:trPr>
          <w:trHeight w:val="407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sz w:val="24"/>
                <w:szCs w:val="24"/>
                <w:lang w:val="ka-GE"/>
              </w:rPr>
              <w:t xml:space="preserve">მოვალეა დაიცვას </w:t>
            </w:r>
            <w:r w:rsidRPr="00623DA1">
              <w:rPr>
                <w:rFonts w:ascii="Sylfaen" w:hAnsi="Sylfaen" w:cs="Arial"/>
                <w:sz w:val="24"/>
                <w:szCs w:val="24"/>
              </w:rPr>
              <w:t xml:space="preserve"> ინსტრუქციების და ტექნოლოგიური პროცესის დაცვა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3DA1">
              <w:rPr>
                <w:rFonts w:ascii="Sylfaen" w:hAnsi="Sylfaen" w:cs="Arial"/>
                <w:sz w:val="24"/>
                <w:szCs w:val="24"/>
              </w:rPr>
              <w:t>შრომის დაცვის, უსაფრთხოების ტექნიკისა და ხანძარსაწინააღმდეგო წესების დაცვის მოთხოვნების შესრულება</w:t>
            </w:r>
          </w:p>
        </w:tc>
      </w:tr>
      <w:tr w:rsidR="00F8367B" w:rsidRPr="00623DA1" w:rsidTr="00894A84">
        <w:trPr>
          <w:trHeight w:val="563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მოვალეა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კომპეტენციის</w:t>
            </w:r>
            <w:r w:rsidRPr="00623DA1">
              <w:rPr>
                <w:rFonts w:ascii="Sylfaen" w:hAnsi="Sylfaen"/>
                <w:color w:val="000000"/>
                <w:sz w:val="24"/>
                <w:szCs w:val="24"/>
              </w:rPr>
              <w:t xml:space="preserve"> ფარგლებში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>მოვალეა იხელმძღვანელოს</w:t>
            </w: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 xml:space="preserve"> კომპანიი</w:t>
            </w:r>
            <w:r w:rsidRPr="00623DA1">
              <w:rPr>
                <w:rFonts w:ascii="Sylfaen" w:hAnsi="Sylfaen"/>
                <w:sz w:val="24"/>
                <w:szCs w:val="24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</w:p>
        </w:tc>
      </w:tr>
      <w:tr w:rsidR="00F8367B" w:rsidRPr="00623DA1" w:rsidTr="00894A84">
        <w:trPr>
          <w:trHeight w:val="555"/>
        </w:trPr>
        <w:tc>
          <w:tcPr>
            <w:tcW w:w="9805" w:type="dxa"/>
            <w:vAlign w:val="center"/>
          </w:tcPr>
          <w:p w:rsidR="00F8367B" w:rsidRPr="00623DA1" w:rsidRDefault="00F8367B" w:rsidP="00894A84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623DA1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შინაგანაწესი და შრომის დისციპლინა</w:t>
            </w:r>
            <w:r w:rsidRPr="00623D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.</w:t>
            </w:r>
          </w:p>
        </w:tc>
      </w:tr>
    </w:tbl>
    <w:p w:rsidR="00F8367B" w:rsidRPr="00623DA1" w:rsidRDefault="00F8367B" w:rsidP="00F8367B">
      <w:pPr>
        <w:rPr>
          <w:rFonts w:ascii="Sylfaen" w:hAnsi="Sylfaen"/>
          <w:sz w:val="24"/>
          <w:szCs w:val="24"/>
          <w:lang w:val="ka-GE"/>
        </w:rPr>
      </w:pPr>
    </w:p>
    <w:p w:rsidR="00F8367B" w:rsidRPr="00623DA1" w:rsidRDefault="00F8367B" w:rsidP="00F8367B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F8367B" w:rsidRPr="00623DA1" w:rsidRDefault="00F8367B" w:rsidP="00F8367B">
      <w:pPr>
        <w:jc w:val="both"/>
        <w:rPr>
          <w:rFonts w:ascii="AcadNusx" w:hAnsi="AcadNusx"/>
          <w:sz w:val="24"/>
          <w:szCs w:val="24"/>
          <w:lang w:val="ka-GE"/>
        </w:rPr>
      </w:pPr>
      <w:r w:rsidRPr="00623DA1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623DA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23DA1"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F8367B" w:rsidRPr="00623DA1" w:rsidRDefault="00F8367B" w:rsidP="00F8367B">
      <w:pPr>
        <w:rPr>
          <w:sz w:val="24"/>
          <w:szCs w:val="24"/>
        </w:rPr>
      </w:pPr>
    </w:p>
    <w:p w:rsidR="00F8367B" w:rsidRPr="00623DA1" w:rsidRDefault="00F8367B" w:rsidP="00F8367B">
      <w:pPr>
        <w:rPr>
          <w:sz w:val="24"/>
          <w:szCs w:val="24"/>
        </w:rPr>
      </w:pPr>
    </w:p>
    <w:p w:rsidR="00F8367B" w:rsidRPr="00623DA1" w:rsidRDefault="00F8367B" w:rsidP="00F8367B">
      <w:pPr>
        <w:rPr>
          <w:sz w:val="24"/>
          <w:szCs w:val="24"/>
        </w:rPr>
      </w:pPr>
    </w:p>
    <w:p w:rsidR="002634B9" w:rsidRDefault="002634B9"/>
    <w:sectPr w:rsidR="002634B9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F2"/>
    <w:rsid w:val="002634B9"/>
    <w:rsid w:val="006030F2"/>
    <w:rsid w:val="00F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7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7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Company>CtrlSoft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2019-08-27T10:53:00Z</dcterms:created>
  <dcterms:modified xsi:type="dcterms:W3CDTF">2019-08-27T10:53:00Z</dcterms:modified>
</cp:coreProperties>
</file>